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3788" w14:textId="77777777" w:rsidR="00946F1A" w:rsidRPr="0019016F" w:rsidRDefault="00946F1A" w:rsidP="00520915">
      <w:pPr>
        <w:spacing w:after="0"/>
        <w:rPr>
          <w:rFonts w:asciiTheme="majorHAnsi" w:hAnsiTheme="majorHAnsi" w:cstheme="minorHAnsi"/>
        </w:rPr>
      </w:pPr>
    </w:p>
    <w:tbl>
      <w:tblPr>
        <w:tblStyle w:val="TableGrid"/>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528"/>
        <w:gridCol w:w="1276"/>
        <w:gridCol w:w="1418"/>
        <w:gridCol w:w="5103"/>
      </w:tblGrid>
      <w:tr w:rsidR="00946F1A" w:rsidRPr="0019016F" w14:paraId="72CBF1F1" w14:textId="77777777" w:rsidTr="00CA35E5">
        <w:trPr>
          <w:trHeight w:val="487"/>
        </w:trPr>
        <w:tc>
          <w:tcPr>
            <w:tcW w:w="15027" w:type="dxa"/>
            <w:gridSpan w:val="5"/>
            <w:shd w:val="clear" w:color="auto" w:fill="DBE5F1" w:themeFill="accent1" w:themeFillTint="33"/>
            <w:vAlign w:val="center"/>
          </w:tcPr>
          <w:p w14:paraId="153A25E1" w14:textId="56222FC4" w:rsidR="00CC0C57" w:rsidRPr="0019016F" w:rsidRDefault="00946F1A" w:rsidP="00CA35E5">
            <w:pPr>
              <w:rPr>
                <w:rFonts w:asciiTheme="majorHAnsi" w:hAnsiTheme="majorHAnsi" w:cstheme="minorHAnsi"/>
                <w:b/>
                <w:bCs/>
                <w:color w:val="1F497D" w:themeColor="text2"/>
              </w:rPr>
            </w:pPr>
            <w:r w:rsidRPr="0019016F">
              <w:rPr>
                <w:rFonts w:asciiTheme="majorHAnsi" w:hAnsiTheme="majorHAnsi" w:cstheme="minorHAnsi"/>
                <w:b/>
                <w:bCs/>
                <w:color w:val="1F497D" w:themeColor="text2"/>
              </w:rPr>
              <w:t>Naziv akta:</w:t>
            </w:r>
            <w:r w:rsidR="00520915" w:rsidRPr="0019016F">
              <w:rPr>
                <w:rFonts w:asciiTheme="majorHAnsi" w:hAnsiTheme="majorHAnsi" w:cstheme="minorHAnsi"/>
                <w:b/>
                <w:bCs/>
                <w:color w:val="1F497D" w:themeColor="text2"/>
              </w:rPr>
              <w:t xml:space="preserve"> </w:t>
            </w:r>
            <w:r w:rsidR="00A84F94" w:rsidRPr="00A84F94">
              <w:rPr>
                <w:rFonts w:asciiTheme="majorHAnsi" w:hAnsiTheme="majorHAnsi" w:cstheme="minorHAnsi"/>
                <w:b/>
                <w:bCs/>
                <w:color w:val="1F497D" w:themeColor="text2"/>
              </w:rPr>
              <w:t>Odluka o lokalnim porezima Općine Višnjan</w:t>
            </w:r>
          </w:p>
        </w:tc>
      </w:tr>
      <w:tr w:rsidR="00946F1A" w:rsidRPr="0019016F" w14:paraId="2AF1319C" w14:textId="77777777" w:rsidTr="00C112F5">
        <w:tc>
          <w:tcPr>
            <w:tcW w:w="15027" w:type="dxa"/>
            <w:gridSpan w:val="5"/>
            <w:shd w:val="clear" w:color="auto" w:fill="DBE5F1" w:themeFill="accent1" w:themeFillTint="33"/>
          </w:tcPr>
          <w:p w14:paraId="150D9627" w14:textId="77777777" w:rsidR="00E14DF4" w:rsidRPr="0019016F" w:rsidRDefault="00E14DF4" w:rsidP="00520915">
            <w:pPr>
              <w:rPr>
                <w:rFonts w:asciiTheme="majorHAnsi" w:hAnsiTheme="majorHAnsi" w:cstheme="minorHAnsi"/>
                <w:b/>
                <w:color w:val="1F497D" w:themeColor="text2"/>
              </w:rPr>
            </w:pPr>
          </w:p>
          <w:p w14:paraId="4546035A" w14:textId="300E2982" w:rsidR="00946F1A" w:rsidRPr="0019016F" w:rsidRDefault="00946F1A" w:rsidP="00520915">
            <w:pPr>
              <w:rPr>
                <w:rFonts w:asciiTheme="majorHAnsi" w:hAnsiTheme="majorHAnsi" w:cstheme="minorHAnsi"/>
                <w:b/>
                <w:color w:val="1F497D" w:themeColor="text2"/>
              </w:rPr>
            </w:pPr>
            <w:r w:rsidRPr="0019016F">
              <w:rPr>
                <w:rFonts w:asciiTheme="majorHAnsi" w:hAnsiTheme="majorHAnsi" w:cstheme="minorHAnsi"/>
                <w:b/>
                <w:color w:val="1F497D" w:themeColor="text2"/>
              </w:rPr>
              <w:t xml:space="preserve">Razdoblje savjetovanja: </w:t>
            </w:r>
            <w:r w:rsidR="00DD5810" w:rsidRPr="0019016F">
              <w:rPr>
                <w:rFonts w:asciiTheme="majorHAnsi" w:hAnsiTheme="majorHAnsi" w:cstheme="minorHAnsi"/>
                <w:b/>
                <w:color w:val="1F497D" w:themeColor="text2"/>
              </w:rPr>
              <w:t xml:space="preserve">od </w:t>
            </w:r>
            <w:r w:rsidR="00062F66">
              <w:rPr>
                <w:rFonts w:asciiTheme="majorHAnsi" w:hAnsiTheme="majorHAnsi" w:cstheme="minorHAnsi"/>
                <w:b/>
                <w:color w:val="1F497D" w:themeColor="text2"/>
              </w:rPr>
              <w:t>23</w:t>
            </w:r>
            <w:r w:rsidR="00CA35E5">
              <w:rPr>
                <w:rFonts w:asciiTheme="majorHAnsi" w:hAnsiTheme="majorHAnsi" w:cstheme="minorHAnsi"/>
                <w:b/>
                <w:color w:val="1F497D" w:themeColor="text2"/>
              </w:rPr>
              <w:t xml:space="preserve">.11.2023. do </w:t>
            </w:r>
            <w:r w:rsidR="00A84F94">
              <w:rPr>
                <w:rFonts w:asciiTheme="majorHAnsi" w:hAnsiTheme="majorHAnsi" w:cstheme="minorHAnsi"/>
                <w:b/>
                <w:color w:val="1F497D" w:themeColor="text2"/>
              </w:rPr>
              <w:t>7</w:t>
            </w:r>
            <w:r w:rsidR="00CA35E5">
              <w:rPr>
                <w:rFonts w:asciiTheme="majorHAnsi" w:hAnsiTheme="majorHAnsi" w:cstheme="minorHAnsi"/>
                <w:b/>
                <w:color w:val="1F497D" w:themeColor="text2"/>
              </w:rPr>
              <w:t>.12.2023.</w:t>
            </w:r>
          </w:p>
          <w:p w14:paraId="29FB5B7A" w14:textId="77777777" w:rsidR="00E14DF4" w:rsidRPr="0019016F" w:rsidRDefault="00E14DF4" w:rsidP="00520915">
            <w:pPr>
              <w:rPr>
                <w:rFonts w:asciiTheme="majorHAnsi" w:hAnsiTheme="majorHAnsi" w:cstheme="minorHAnsi"/>
                <w:b/>
                <w:color w:val="1F497D" w:themeColor="text2"/>
              </w:rPr>
            </w:pPr>
          </w:p>
        </w:tc>
      </w:tr>
      <w:tr w:rsidR="00546335" w:rsidRPr="0019016F" w14:paraId="2C8CA2B0" w14:textId="77777777" w:rsidTr="00C112F5">
        <w:tc>
          <w:tcPr>
            <w:tcW w:w="1702" w:type="dxa"/>
            <w:shd w:val="clear" w:color="auto" w:fill="F2F2F2" w:themeFill="background1" w:themeFillShade="F2"/>
          </w:tcPr>
          <w:p w14:paraId="020902CB" w14:textId="77777777" w:rsidR="00946F1A" w:rsidRPr="0019016F" w:rsidRDefault="00784B0B">
            <w:pPr>
              <w:rPr>
                <w:rFonts w:asciiTheme="majorHAnsi" w:hAnsiTheme="majorHAnsi" w:cstheme="minorHAnsi"/>
                <w:b/>
                <w:color w:val="1F497D" w:themeColor="text2"/>
              </w:rPr>
            </w:pPr>
            <w:r w:rsidRPr="0019016F">
              <w:rPr>
                <w:rFonts w:asciiTheme="majorHAnsi" w:hAnsiTheme="majorHAnsi" w:cstheme="minorHAnsi"/>
                <w:b/>
                <w:color w:val="1F497D" w:themeColor="text2"/>
              </w:rPr>
              <w:t>Korisnik</w:t>
            </w:r>
          </w:p>
        </w:tc>
        <w:tc>
          <w:tcPr>
            <w:tcW w:w="5528" w:type="dxa"/>
            <w:shd w:val="clear" w:color="auto" w:fill="F2F2F2" w:themeFill="background1" w:themeFillShade="F2"/>
          </w:tcPr>
          <w:p w14:paraId="2EBCE669" w14:textId="77777777" w:rsidR="00946F1A" w:rsidRPr="0019016F" w:rsidRDefault="00784B0B">
            <w:pPr>
              <w:rPr>
                <w:rFonts w:asciiTheme="majorHAnsi" w:hAnsiTheme="majorHAnsi" w:cstheme="minorHAnsi"/>
                <w:b/>
                <w:color w:val="1F497D" w:themeColor="text2"/>
              </w:rPr>
            </w:pPr>
            <w:r w:rsidRPr="0019016F">
              <w:rPr>
                <w:rFonts w:asciiTheme="majorHAnsi" w:hAnsiTheme="majorHAnsi" w:cstheme="minorHAnsi"/>
                <w:b/>
                <w:color w:val="1F497D" w:themeColor="text2"/>
              </w:rPr>
              <w:t>Komentar</w:t>
            </w:r>
          </w:p>
        </w:tc>
        <w:tc>
          <w:tcPr>
            <w:tcW w:w="1276" w:type="dxa"/>
            <w:shd w:val="clear" w:color="auto" w:fill="F2F2F2" w:themeFill="background1" w:themeFillShade="F2"/>
          </w:tcPr>
          <w:p w14:paraId="1FE01A9F" w14:textId="77777777" w:rsidR="00946F1A" w:rsidRPr="0019016F" w:rsidRDefault="00784B0B">
            <w:pPr>
              <w:rPr>
                <w:rFonts w:asciiTheme="majorHAnsi" w:hAnsiTheme="majorHAnsi" w:cstheme="minorHAnsi"/>
                <w:b/>
                <w:color w:val="1F497D" w:themeColor="text2"/>
              </w:rPr>
            </w:pPr>
            <w:r w:rsidRPr="0019016F">
              <w:rPr>
                <w:rFonts w:asciiTheme="majorHAnsi" w:hAnsiTheme="majorHAnsi" w:cstheme="minorHAnsi"/>
                <w:b/>
                <w:color w:val="1F497D" w:themeColor="text2"/>
              </w:rPr>
              <w:t>Datum</w:t>
            </w:r>
          </w:p>
        </w:tc>
        <w:tc>
          <w:tcPr>
            <w:tcW w:w="1418" w:type="dxa"/>
            <w:shd w:val="clear" w:color="auto" w:fill="F2F2F2" w:themeFill="background1" w:themeFillShade="F2"/>
          </w:tcPr>
          <w:p w14:paraId="736A1362" w14:textId="77777777" w:rsidR="00946F1A" w:rsidRPr="0019016F" w:rsidRDefault="00784B0B">
            <w:pPr>
              <w:rPr>
                <w:rFonts w:asciiTheme="majorHAnsi" w:hAnsiTheme="majorHAnsi" w:cstheme="minorHAnsi"/>
                <w:b/>
                <w:color w:val="1F497D" w:themeColor="text2"/>
              </w:rPr>
            </w:pPr>
            <w:r w:rsidRPr="0019016F">
              <w:rPr>
                <w:rFonts w:asciiTheme="majorHAnsi" w:hAnsiTheme="majorHAnsi" w:cstheme="minorHAnsi"/>
                <w:b/>
                <w:color w:val="1F497D" w:themeColor="text2"/>
              </w:rPr>
              <w:t>Status</w:t>
            </w:r>
          </w:p>
        </w:tc>
        <w:tc>
          <w:tcPr>
            <w:tcW w:w="5103" w:type="dxa"/>
            <w:shd w:val="clear" w:color="auto" w:fill="F2F2F2" w:themeFill="background1" w:themeFillShade="F2"/>
          </w:tcPr>
          <w:p w14:paraId="47769DB2" w14:textId="77777777" w:rsidR="00946F1A" w:rsidRPr="0019016F" w:rsidRDefault="00784B0B">
            <w:pPr>
              <w:rPr>
                <w:rFonts w:asciiTheme="majorHAnsi" w:hAnsiTheme="majorHAnsi" w:cstheme="minorHAnsi"/>
                <w:b/>
                <w:color w:val="1F497D" w:themeColor="text2"/>
              </w:rPr>
            </w:pPr>
            <w:r w:rsidRPr="0019016F">
              <w:rPr>
                <w:rFonts w:asciiTheme="majorHAnsi" w:hAnsiTheme="majorHAnsi" w:cstheme="minorHAnsi"/>
                <w:b/>
                <w:color w:val="1F497D" w:themeColor="text2"/>
              </w:rPr>
              <w:t>Odgovor</w:t>
            </w:r>
          </w:p>
        </w:tc>
      </w:tr>
      <w:tr w:rsidR="00546335" w:rsidRPr="0019016F" w14:paraId="4AA518C6" w14:textId="77777777" w:rsidTr="00C112F5">
        <w:tc>
          <w:tcPr>
            <w:tcW w:w="1702" w:type="dxa"/>
            <w:shd w:val="clear" w:color="auto" w:fill="auto"/>
          </w:tcPr>
          <w:p w14:paraId="2A49F86E" w14:textId="20F95633" w:rsidR="00946F1A" w:rsidRPr="0019016F" w:rsidRDefault="00062F66" w:rsidP="00A9210D">
            <w:pPr>
              <w:jc w:val="both"/>
              <w:rPr>
                <w:rFonts w:asciiTheme="majorHAnsi" w:hAnsiTheme="majorHAnsi" w:cstheme="minorHAnsi"/>
                <w:color w:val="808080" w:themeColor="background1" w:themeShade="80"/>
              </w:rPr>
            </w:pPr>
            <w:proofErr w:type="spellStart"/>
            <w:r w:rsidRPr="00062F66">
              <w:rPr>
                <w:rFonts w:asciiTheme="majorHAnsi" w:hAnsiTheme="majorHAnsi" w:cstheme="minorHAnsi"/>
                <w:color w:val="808080" w:themeColor="background1" w:themeShade="80"/>
              </w:rPr>
              <w:t>Gaetan</w:t>
            </w:r>
            <w:proofErr w:type="spellEnd"/>
            <w:r w:rsidRPr="00062F66">
              <w:rPr>
                <w:rFonts w:asciiTheme="majorHAnsi" w:hAnsiTheme="majorHAnsi" w:cstheme="minorHAnsi"/>
                <w:color w:val="808080" w:themeColor="background1" w:themeShade="80"/>
              </w:rPr>
              <w:t xml:space="preserve"> </w:t>
            </w:r>
            <w:proofErr w:type="spellStart"/>
            <w:r w:rsidRPr="00062F66">
              <w:rPr>
                <w:rFonts w:asciiTheme="majorHAnsi" w:hAnsiTheme="majorHAnsi" w:cstheme="minorHAnsi"/>
                <w:color w:val="808080" w:themeColor="background1" w:themeShade="80"/>
              </w:rPr>
              <w:t>Mileša</w:t>
            </w:r>
            <w:proofErr w:type="spellEnd"/>
          </w:p>
        </w:tc>
        <w:tc>
          <w:tcPr>
            <w:tcW w:w="5528" w:type="dxa"/>
          </w:tcPr>
          <w:p w14:paraId="72CC5A2A" w14:textId="1440DB03" w:rsidR="00946F1A" w:rsidRPr="0019016F" w:rsidRDefault="00062F66" w:rsidP="00B61F3C">
            <w:pPr>
              <w:jc w:val="both"/>
              <w:rPr>
                <w:rFonts w:asciiTheme="majorHAnsi" w:hAnsiTheme="majorHAnsi" w:cstheme="minorHAnsi"/>
                <w:color w:val="808080" w:themeColor="background1" w:themeShade="80"/>
              </w:rPr>
            </w:pPr>
            <w:r w:rsidRPr="00062F66">
              <w:rPr>
                <w:rFonts w:asciiTheme="majorHAnsi" w:hAnsiTheme="majorHAnsi" w:cstheme="minorHAnsi"/>
                <w:color w:val="808080" w:themeColor="background1" w:themeShade="80"/>
              </w:rPr>
              <w:t xml:space="preserve">Poštovani Slušao sam neki dan našeg Gradonačelnika kako ističe dobre rezultate iznajmljivača na području Općine Višnjan. Moja je poruka da izvrsnost treba poticati a ne kažnjavati. Nije mi dovoljno tri stranice da obrazložim sva svoja mišljenja o prijedlogu ovog poreza. Evo samo neke od sitnica. Naše susjedne Općine imaju daleko manji ili kao općina </w:t>
            </w:r>
            <w:proofErr w:type="spellStart"/>
            <w:r w:rsidRPr="00062F66">
              <w:rPr>
                <w:rFonts w:asciiTheme="majorHAnsi" w:hAnsiTheme="majorHAnsi" w:cstheme="minorHAnsi"/>
                <w:color w:val="808080" w:themeColor="background1" w:themeShade="80"/>
              </w:rPr>
              <w:t>Vižinada</w:t>
            </w:r>
            <w:proofErr w:type="spellEnd"/>
            <w:r w:rsidRPr="00062F66">
              <w:rPr>
                <w:rFonts w:asciiTheme="majorHAnsi" w:hAnsiTheme="majorHAnsi" w:cstheme="minorHAnsi"/>
                <w:color w:val="808080" w:themeColor="background1" w:themeShade="80"/>
              </w:rPr>
              <w:t xml:space="preserve"> uopće nemaju porez na kuće za odmor. Što nas stavlja u neravnopravni položaj </w:t>
            </w:r>
            <w:proofErr w:type="spellStart"/>
            <w:r w:rsidRPr="00062F66">
              <w:rPr>
                <w:rFonts w:asciiTheme="majorHAnsi" w:hAnsiTheme="majorHAnsi" w:cstheme="minorHAnsi"/>
                <w:color w:val="808080" w:themeColor="background1" w:themeShade="80"/>
              </w:rPr>
              <w:t>nasprem</w:t>
            </w:r>
            <w:proofErr w:type="spellEnd"/>
            <w:r w:rsidRPr="00062F66">
              <w:rPr>
                <w:rFonts w:asciiTheme="majorHAnsi" w:hAnsiTheme="majorHAnsi" w:cstheme="minorHAnsi"/>
                <w:color w:val="808080" w:themeColor="background1" w:themeShade="80"/>
              </w:rPr>
              <w:t xml:space="preserve"> susjeda. Smatram pre skupo cijenu od </w:t>
            </w:r>
            <w:proofErr w:type="spellStart"/>
            <w:r w:rsidRPr="00062F66">
              <w:rPr>
                <w:rFonts w:asciiTheme="majorHAnsi" w:hAnsiTheme="majorHAnsi" w:cstheme="minorHAnsi"/>
                <w:color w:val="808080" w:themeColor="background1" w:themeShade="80"/>
              </w:rPr>
              <w:t>5eura</w:t>
            </w:r>
            <w:proofErr w:type="spellEnd"/>
            <w:r w:rsidRPr="00062F66">
              <w:rPr>
                <w:rFonts w:asciiTheme="majorHAnsi" w:hAnsiTheme="majorHAnsi" w:cstheme="minorHAnsi"/>
                <w:color w:val="808080" w:themeColor="background1" w:themeShade="80"/>
              </w:rPr>
              <w:t>/</w:t>
            </w:r>
            <w:proofErr w:type="spellStart"/>
            <w:r w:rsidRPr="00062F66">
              <w:rPr>
                <w:rFonts w:asciiTheme="majorHAnsi" w:hAnsiTheme="majorHAnsi" w:cstheme="minorHAnsi"/>
                <w:color w:val="808080" w:themeColor="background1" w:themeShade="80"/>
              </w:rPr>
              <w:t>m2</w:t>
            </w:r>
            <w:proofErr w:type="spellEnd"/>
            <w:r w:rsidRPr="00062F66">
              <w:rPr>
                <w:rFonts w:asciiTheme="majorHAnsi" w:hAnsiTheme="majorHAnsi" w:cstheme="minorHAnsi"/>
                <w:color w:val="808080" w:themeColor="background1" w:themeShade="80"/>
              </w:rPr>
              <w:t>. Molim obrazloženje na koji način je došlo do tog izračuna. Znamo da postoje mali iznajmljivači i firme koje iznajmljuju više objekta. Trebalo bi razlikovati iste i svakog na drugi način oporezivati. Znamo isto tako da imamo strane državljane i ljude iz drugih gradova i općina koji iznajmljuju smještaj na području Općine Višnjan. Možda ne bi bilo loše uvesti neku vrstu olakšice za domicilno stanovništvo. U glavnom smatram da bi to svakako trebalo još razmotriti i podijeliti u više kategorija. Hvala</w:t>
            </w:r>
          </w:p>
        </w:tc>
        <w:tc>
          <w:tcPr>
            <w:tcW w:w="1276" w:type="dxa"/>
          </w:tcPr>
          <w:p w14:paraId="24AC0508" w14:textId="59B56937" w:rsidR="00F922FD" w:rsidRPr="0019016F" w:rsidRDefault="00062F66">
            <w:pPr>
              <w:rPr>
                <w:rFonts w:asciiTheme="majorHAnsi" w:hAnsiTheme="majorHAnsi" w:cstheme="minorHAnsi"/>
                <w:color w:val="808080" w:themeColor="background1" w:themeShade="80"/>
              </w:rPr>
            </w:pPr>
            <w:r w:rsidRPr="00062F66">
              <w:rPr>
                <w:rFonts w:asciiTheme="majorHAnsi" w:hAnsiTheme="majorHAnsi" w:cstheme="minorHAnsi"/>
                <w:color w:val="808080" w:themeColor="background1" w:themeShade="80"/>
              </w:rPr>
              <w:t xml:space="preserve">4.12.2023 </w:t>
            </w:r>
            <w:proofErr w:type="spellStart"/>
            <w:r w:rsidRPr="00062F66">
              <w:rPr>
                <w:rFonts w:asciiTheme="majorHAnsi" w:hAnsiTheme="majorHAnsi" w:cstheme="minorHAnsi"/>
                <w:color w:val="808080" w:themeColor="background1" w:themeShade="80"/>
              </w:rPr>
              <w:t>11:19</w:t>
            </w:r>
            <w:r>
              <w:rPr>
                <w:rFonts w:asciiTheme="majorHAnsi" w:hAnsiTheme="majorHAnsi" w:cstheme="minorHAnsi"/>
                <w:color w:val="808080" w:themeColor="background1" w:themeShade="80"/>
              </w:rPr>
              <w:t>h</w:t>
            </w:r>
            <w:proofErr w:type="spellEnd"/>
          </w:p>
        </w:tc>
        <w:tc>
          <w:tcPr>
            <w:tcW w:w="1418" w:type="dxa"/>
          </w:tcPr>
          <w:p w14:paraId="5AF36E0B" w14:textId="77777777" w:rsidR="00365B59" w:rsidRPr="0019016F" w:rsidRDefault="00184E7F" w:rsidP="00184E7F">
            <w:pPr>
              <w:rPr>
                <w:rFonts w:asciiTheme="majorHAnsi" w:hAnsiTheme="majorHAnsi" w:cstheme="minorHAnsi"/>
                <w:color w:val="808080" w:themeColor="background1" w:themeShade="80"/>
              </w:rPr>
            </w:pPr>
            <w:r w:rsidRPr="003E3057">
              <w:rPr>
                <w:rFonts w:asciiTheme="majorHAnsi" w:hAnsiTheme="majorHAnsi" w:cs="Arial"/>
                <w:sz w:val="20"/>
                <w:szCs w:val="20"/>
              </w:rPr>
              <w:t>-Odbijen</w:t>
            </w:r>
          </w:p>
        </w:tc>
        <w:tc>
          <w:tcPr>
            <w:tcW w:w="5103" w:type="dxa"/>
          </w:tcPr>
          <w:p w14:paraId="3B2660F8" w14:textId="1C8C570D" w:rsidR="00946F1A" w:rsidRDefault="003E3057" w:rsidP="00F922FD">
            <w:pPr>
              <w:spacing w:beforeLines="40" w:before="96" w:afterLines="40" w:after="96"/>
              <w:jc w:val="both"/>
              <w:rPr>
                <w:rFonts w:asciiTheme="majorHAnsi" w:hAnsiTheme="majorHAnsi" w:cstheme="minorHAnsi"/>
              </w:rPr>
            </w:pPr>
            <w:r w:rsidRPr="003E3057">
              <w:rPr>
                <w:rFonts w:asciiTheme="majorHAnsi" w:hAnsiTheme="majorHAnsi" w:cstheme="minorHAnsi"/>
              </w:rPr>
              <w:t>Sukladno Zakonu o lokalnim porezima člankom 2. točka 12.</w:t>
            </w:r>
            <w:r>
              <w:rPr>
                <w:rFonts w:asciiTheme="majorHAnsi" w:hAnsiTheme="majorHAnsi" w:cstheme="minorHAnsi"/>
              </w:rPr>
              <w:t xml:space="preserve">, a </w:t>
            </w:r>
            <w:r w:rsidRPr="003E3057">
              <w:rPr>
                <w:rFonts w:asciiTheme="majorHAnsi" w:hAnsiTheme="majorHAnsi" w:cstheme="minorHAnsi"/>
              </w:rPr>
              <w:t xml:space="preserve"> temelj</w:t>
            </w:r>
            <w:r>
              <w:rPr>
                <w:rFonts w:asciiTheme="majorHAnsi" w:hAnsiTheme="majorHAnsi" w:cstheme="minorHAnsi"/>
              </w:rPr>
              <w:t>em</w:t>
            </w:r>
            <w:r w:rsidRPr="003E3057">
              <w:rPr>
                <w:rFonts w:asciiTheme="majorHAnsi" w:hAnsiTheme="majorHAnsi" w:cstheme="minorHAnsi"/>
              </w:rPr>
              <w:t xml:space="preserve"> čega je predložena na javnom savjetovanju Odluka o lokalnim porezima Općine Višnjan, </w:t>
            </w:r>
            <w:r w:rsidR="00AD4330">
              <w:rPr>
                <w:rFonts w:asciiTheme="majorHAnsi" w:hAnsiTheme="majorHAnsi" w:cstheme="minorHAnsi"/>
              </w:rPr>
              <w:t xml:space="preserve"> </w:t>
            </w:r>
            <w:r w:rsidRPr="003E3057">
              <w:rPr>
                <w:rFonts w:asciiTheme="majorHAnsi" w:hAnsiTheme="majorHAnsi" w:cstheme="minorHAnsi"/>
              </w:rPr>
              <w:t>definira</w:t>
            </w:r>
            <w:r>
              <w:rPr>
                <w:rFonts w:asciiTheme="majorHAnsi" w:hAnsiTheme="majorHAnsi" w:cstheme="minorHAnsi"/>
              </w:rPr>
              <w:t>no</w:t>
            </w:r>
            <w:r w:rsidRPr="003E3057">
              <w:rPr>
                <w:rFonts w:asciiTheme="majorHAnsi" w:hAnsiTheme="majorHAnsi" w:cstheme="minorHAnsi"/>
              </w:rPr>
              <w:t xml:space="preserve"> </w:t>
            </w:r>
            <w:r w:rsidR="00AD4330">
              <w:rPr>
                <w:rFonts w:asciiTheme="majorHAnsi" w:hAnsiTheme="majorHAnsi" w:cstheme="minorHAnsi"/>
              </w:rPr>
              <w:t xml:space="preserve">je </w:t>
            </w:r>
            <w:r>
              <w:rPr>
                <w:rFonts w:asciiTheme="majorHAnsi" w:hAnsiTheme="majorHAnsi" w:cstheme="minorHAnsi"/>
              </w:rPr>
              <w:t xml:space="preserve">da </w:t>
            </w:r>
            <w:r w:rsidRPr="003E3057">
              <w:rPr>
                <w:rFonts w:asciiTheme="majorHAnsi" w:hAnsiTheme="majorHAnsi" w:cstheme="minorHAnsi"/>
              </w:rPr>
              <w:t>kuća za odmor je svaka zgrada ili dio zgrade ili stan koji se koriste povremeno ili sezonski. Kućom za odmor ne smatraju se gospodarstvene zgrade koje služe za smještaj poljoprivrednih strojeva, oruđa i drugog pribora.</w:t>
            </w:r>
          </w:p>
          <w:p w14:paraId="47D17C94" w14:textId="461E2123" w:rsidR="003E3057" w:rsidRPr="003E3057" w:rsidRDefault="003E3057" w:rsidP="00381546">
            <w:pPr>
              <w:spacing w:beforeLines="40" w:before="96" w:afterLines="40" w:after="96"/>
              <w:jc w:val="both"/>
              <w:rPr>
                <w:rFonts w:asciiTheme="majorHAnsi" w:hAnsiTheme="majorHAnsi" w:cstheme="minorHAnsi"/>
              </w:rPr>
            </w:pPr>
            <w:r>
              <w:rPr>
                <w:rFonts w:asciiTheme="majorHAnsi" w:hAnsiTheme="majorHAnsi" w:cstheme="minorHAnsi"/>
              </w:rPr>
              <w:t xml:space="preserve">Navedeni porez ne odnosi se na objekte u kojima se obavlja  registrirana djelatnost </w:t>
            </w:r>
            <w:r w:rsidR="00381546">
              <w:rPr>
                <w:rFonts w:asciiTheme="majorHAnsi" w:hAnsiTheme="majorHAnsi" w:cstheme="minorHAnsi"/>
              </w:rPr>
              <w:t xml:space="preserve"> iznajmljivanja</w:t>
            </w:r>
            <w:r>
              <w:rPr>
                <w:rFonts w:asciiTheme="majorHAnsi" w:hAnsiTheme="majorHAnsi" w:cstheme="minorHAnsi"/>
              </w:rPr>
              <w:t xml:space="preserve"> </w:t>
            </w:r>
            <w:r w:rsidR="00381546">
              <w:rPr>
                <w:rFonts w:asciiTheme="majorHAnsi" w:hAnsiTheme="majorHAnsi" w:cstheme="minorHAnsi"/>
              </w:rPr>
              <w:t xml:space="preserve">sukladno  </w:t>
            </w:r>
            <w:r w:rsidR="00381546" w:rsidRPr="00381546">
              <w:rPr>
                <w:rFonts w:asciiTheme="majorHAnsi" w:hAnsiTheme="majorHAnsi" w:cstheme="minorHAnsi"/>
              </w:rPr>
              <w:t>Zakon</w:t>
            </w:r>
            <w:r w:rsidR="00381546">
              <w:rPr>
                <w:rFonts w:asciiTheme="majorHAnsi" w:hAnsiTheme="majorHAnsi" w:cstheme="minorHAnsi"/>
              </w:rPr>
              <w:t>u</w:t>
            </w:r>
            <w:r w:rsidR="00381546" w:rsidRPr="00381546">
              <w:rPr>
                <w:rFonts w:asciiTheme="majorHAnsi" w:hAnsiTheme="majorHAnsi" w:cstheme="minorHAnsi"/>
              </w:rPr>
              <w:t xml:space="preserve"> o ugostiteljskoj djelatnosti</w:t>
            </w:r>
            <w:r w:rsidR="00381546">
              <w:rPr>
                <w:rFonts w:asciiTheme="majorHAnsi" w:hAnsiTheme="majorHAnsi" w:cstheme="minorHAnsi"/>
              </w:rPr>
              <w:t xml:space="preserve"> „</w:t>
            </w:r>
            <w:r w:rsidR="00381546" w:rsidRPr="00381546">
              <w:rPr>
                <w:rFonts w:asciiTheme="majorHAnsi" w:hAnsiTheme="majorHAnsi" w:cstheme="minorHAnsi"/>
              </w:rPr>
              <w:t>N</w:t>
            </w:r>
            <w:r w:rsidR="00381546">
              <w:rPr>
                <w:rFonts w:asciiTheme="majorHAnsi" w:hAnsiTheme="majorHAnsi" w:cstheme="minorHAnsi"/>
              </w:rPr>
              <w:t>arodne novine“ broj</w:t>
            </w:r>
            <w:r w:rsidR="00381546" w:rsidRPr="00381546">
              <w:rPr>
                <w:rFonts w:asciiTheme="majorHAnsi" w:hAnsiTheme="majorHAnsi" w:cstheme="minorHAnsi"/>
              </w:rPr>
              <w:t xml:space="preserve">  85/15, 121/16, 99/18, 25/19, 98/19, 32/20, 42/20, 126/21</w:t>
            </w:r>
            <w:r w:rsidR="00381546">
              <w:rPr>
                <w:rFonts w:asciiTheme="majorHAnsi" w:hAnsiTheme="majorHAnsi" w:cstheme="minorHAnsi"/>
              </w:rPr>
              <w:t>.</w:t>
            </w:r>
          </w:p>
        </w:tc>
      </w:tr>
      <w:tr w:rsidR="00A84F94" w:rsidRPr="0019016F" w14:paraId="662B4DD4" w14:textId="77777777" w:rsidTr="00C112F5">
        <w:tc>
          <w:tcPr>
            <w:tcW w:w="1702" w:type="dxa"/>
            <w:shd w:val="clear" w:color="auto" w:fill="auto"/>
          </w:tcPr>
          <w:p w14:paraId="7669B95C" w14:textId="72E95280" w:rsidR="00A84F94" w:rsidRPr="00062F66" w:rsidRDefault="00A84F94" w:rsidP="00A84F94">
            <w:pPr>
              <w:jc w:val="both"/>
              <w:rPr>
                <w:rFonts w:asciiTheme="majorHAnsi" w:hAnsiTheme="majorHAnsi" w:cstheme="minorHAnsi"/>
                <w:color w:val="808080" w:themeColor="background1" w:themeShade="80"/>
              </w:rPr>
            </w:pPr>
            <w:r w:rsidRPr="00062F66">
              <w:rPr>
                <w:rFonts w:asciiTheme="majorHAnsi" w:hAnsiTheme="majorHAnsi" w:cstheme="minorHAnsi"/>
                <w:color w:val="808080" w:themeColor="background1" w:themeShade="80"/>
              </w:rPr>
              <w:t xml:space="preserve">Zoran </w:t>
            </w:r>
            <w:proofErr w:type="spellStart"/>
            <w:r w:rsidRPr="00062F66">
              <w:rPr>
                <w:rFonts w:asciiTheme="majorHAnsi" w:hAnsiTheme="majorHAnsi" w:cstheme="minorHAnsi"/>
                <w:color w:val="808080" w:themeColor="background1" w:themeShade="80"/>
              </w:rPr>
              <w:t>Dekleva</w:t>
            </w:r>
            <w:proofErr w:type="spellEnd"/>
          </w:p>
        </w:tc>
        <w:tc>
          <w:tcPr>
            <w:tcW w:w="5528" w:type="dxa"/>
          </w:tcPr>
          <w:p w14:paraId="50F8E705" w14:textId="09F2DA5E" w:rsidR="00A84F94" w:rsidRPr="00062F66" w:rsidRDefault="00A84F94" w:rsidP="00A84F94">
            <w:pPr>
              <w:jc w:val="both"/>
              <w:rPr>
                <w:rFonts w:asciiTheme="majorHAnsi" w:hAnsiTheme="majorHAnsi" w:cstheme="minorHAnsi"/>
                <w:color w:val="808080" w:themeColor="background1" w:themeShade="80"/>
              </w:rPr>
            </w:pPr>
            <w:r w:rsidRPr="00A84F94">
              <w:rPr>
                <w:rFonts w:asciiTheme="majorHAnsi" w:hAnsiTheme="majorHAnsi" w:cstheme="minorHAnsi"/>
                <w:color w:val="808080" w:themeColor="background1" w:themeShade="80"/>
              </w:rPr>
              <w:t xml:space="preserve">Poštovani, Smatram da podizanje poreza na kuće za odmor sa prijašnjih cca 2,00 </w:t>
            </w:r>
            <w:proofErr w:type="spellStart"/>
            <w:r w:rsidRPr="00A84F94">
              <w:rPr>
                <w:rFonts w:asciiTheme="majorHAnsi" w:hAnsiTheme="majorHAnsi" w:cstheme="minorHAnsi"/>
                <w:color w:val="808080" w:themeColor="background1" w:themeShade="80"/>
              </w:rPr>
              <w:t>Eur</w:t>
            </w:r>
            <w:proofErr w:type="spellEnd"/>
            <w:r w:rsidRPr="00A84F94">
              <w:rPr>
                <w:rFonts w:asciiTheme="majorHAnsi" w:hAnsiTheme="majorHAnsi" w:cstheme="minorHAnsi"/>
                <w:color w:val="808080" w:themeColor="background1" w:themeShade="80"/>
              </w:rPr>
              <w:t>/</w:t>
            </w:r>
            <w:proofErr w:type="spellStart"/>
            <w:r w:rsidRPr="00A84F94">
              <w:rPr>
                <w:rFonts w:asciiTheme="majorHAnsi" w:hAnsiTheme="majorHAnsi" w:cstheme="minorHAnsi"/>
                <w:color w:val="808080" w:themeColor="background1" w:themeShade="80"/>
              </w:rPr>
              <w:t>m2</w:t>
            </w:r>
            <w:proofErr w:type="spellEnd"/>
            <w:r w:rsidRPr="00A84F94">
              <w:rPr>
                <w:rFonts w:asciiTheme="majorHAnsi" w:hAnsiTheme="majorHAnsi" w:cstheme="minorHAnsi"/>
                <w:color w:val="808080" w:themeColor="background1" w:themeShade="80"/>
              </w:rPr>
              <w:t xml:space="preserve"> na sada maksimalno zakonski dopuštenih 5,00 Eura/</w:t>
            </w:r>
            <w:proofErr w:type="spellStart"/>
            <w:r w:rsidRPr="00A84F94">
              <w:rPr>
                <w:rFonts w:asciiTheme="majorHAnsi" w:hAnsiTheme="majorHAnsi" w:cstheme="minorHAnsi"/>
                <w:color w:val="808080" w:themeColor="background1" w:themeShade="80"/>
              </w:rPr>
              <w:t>m2</w:t>
            </w:r>
            <w:proofErr w:type="spellEnd"/>
            <w:r w:rsidRPr="00A84F94">
              <w:rPr>
                <w:rFonts w:asciiTheme="majorHAnsi" w:hAnsiTheme="majorHAnsi" w:cstheme="minorHAnsi"/>
                <w:color w:val="808080" w:themeColor="background1" w:themeShade="80"/>
              </w:rPr>
              <w:t xml:space="preserve">, kao i podizanje iznosa za cca 150 % ugostiteljima za najam terasa u ljetnom periodu nije nikako korektno prema istima jer ako se uzme u obzir da i mali iznajmljivači sa područja Općine Višnjan plaćaju najviše turističke pristojbe u Istri u iznosu od 100,00 Eura godišnje po krevetu, te uzimajući u obzir da s druge strane Turistička zajednica istim tim </w:t>
            </w:r>
            <w:r w:rsidRPr="00A84F94">
              <w:rPr>
                <w:rFonts w:asciiTheme="majorHAnsi" w:hAnsiTheme="majorHAnsi" w:cstheme="minorHAnsi"/>
                <w:color w:val="808080" w:themeColor="background1" w:themeShade="80"/>
              </w:rPr>
              <w:lastRenderedPageBreak/>
              <w:t>iznajmljivačima i ugostiteljima ne pruža nikakvu podršku kroz svoje djelovanje i postojanje pošto godinama ne postoji nikakav konkretan plan i strategija koji bi se provodili u svrhu konstantnog promoviranja mjesta odnosno općine putem organizacije razno raznih eventa prvenstveno u periodu tokom turističke sezone po uzoru na ostale susjedne općine, a da ne spominjem da promoviranje mjesta odnosno općine putem web stranice i društvenih mreža (</w:t>
            </w:r>
            <w:proofErr w:type="spellStart"/>
            <w:r w:rsidRPr="00A84F94">
              <w:rPr>
                <w:rFonts w:asciiTheme="majorHAnsi" w:hAnsiTheme="majorHAnsi" w:cstheme="minorHAnsi"/>
                <w:color w:val="808080" w:themeColor="background1" w:themeShade="80"/>
              </w:rPr>
              <w:t>facebook</w:t>
            </w:r>
            <w:proofErr w:type="spellEnd"/>
            <w:r w:rsidRPr="00A84F94">
              <w:rPr>
                <w:rFonts w:asciiTheme="majorHAnsi" w:hAnsiTheme="majorHAnsi" w:cstheme="minorHAnsi"/>
                <w:color w:val="808080" w:themeColor="background1" w:themeShade="80"/>
              </w:rPr>
              <w:t xml:space="preserve">, </w:t>
            </w:r>
            <w:proofErr w:type="spellStart"/>
            <w:r w:rsidRPr="00A84F94">
              <w:rPr>
                <w:rFonts w:asciiTheme="majorHAnsi" w:hAnsiTheme="majorHAnsi" w:cstheme="minorHAnsi"/>
                <w:color w:val="808080" w:themeColor="background1" w:themeShade="80"/>
              </w:rPr>
              <w:t>instagram</w:t>
            </w:r>
            <w:proofErr w:type="spellEnd"/>
            <w:r w:rsidRPr="00A84F94">
              <w:rPr>
                <w:rFonts w:asciiTheme="majorHAnsi" w:hAnsiTheme="majorHAnsi" w:cstheme="minorHAnsi"/>
                <w:color w:val="808080" w:themeColor="background1" w:themeShade="80"/>
              </w:rPr>
              <w:t xml:space="preserve"> i ostalo) koje u današnje vrijeme predstavljaju najjači mogući alat za oglašavanje uopće ne postoji od strane Turističke zajednice, a to bi trebala biti primarna obveza Turističke zajednice, onda se postavlja pitanje koji je razlog predlaganja maksimalnih iznosa poreza prema iznajmljivačima ?? Uz sve to ako želimo uzeti za usporedbu susjedne općine (</w:t>
            </w:r>
            <w:proofErr w:type="spellStart"/>
            <w:r w:rsidRPr="00A84F94">
              <w:rPr>
                <w:rFonts w:asciiTheme="majorHAnsi" w:hAnsiTheme="majorHAnsi" w:cstheme="minorHAnsi"/>
                <w:color w:val="808080" w:themeColor="background1" w:themeShade="80"/>
              </w:rPr>
              <w:t>Kaštelir</w:t>
            </w:r>
            <w:proofErr w:type="spellEnd"/>
            <w:r w:rsidRPr="00A84F94">
              <w:rPr>
                <w:rFonts w:asciiTheme="majorHAnsi" w:hAnsiTheme="majorHAnsi" w:cstheme="minorHAnsi"/>
                <w:color w:val="808080" w:themeColor="background1" w:themeShade="80"/>
              </w:rPr>
              <w:t xml:space="preserve">-Labinci i </w:t>
            </w:r>
            <w:proofErr w:type="spellStart"/>
            <w:r w:rsidRPr="00A84F94">
              <w:rPr>
                <w:rFonts w:asciiTheme="majorHAnsi" w:hAnsiTheme="majorHAnsi" w:cstheme="minorHAnsi"/>
                <w:color w:val="808080" w:themeColor="background1" w:themeShade="80"/>
              </w:rPr>
              <w:t>Vižinadu</w:t>
            </w:r>
            <w:proofErr w:type="spellEnd"/>
            <w:r w:rsidRPr="00A84F94">
              <w:rPr>
                <w:rFonts w:asciiTheme="majorHAnsi" w:hAnsiTheme="majorHAnsi" w:cstheme="minorHAnsi"/>
                <w:color w:val="808080" w:themeColor="background1" w:themeShade="80"/>
              </w:rPr>
              <w:t>) gdje je komunalna infrastruktura na nekom drugom / višem nivou u usporedbi sa Općinom Višnjan i da za većinu kuća za odmor i ostale privatne smještaje postoji makar uredno postavljena signalizacija, a od iznajmljivača sa područja Općine Višnjan traženo je da sami snose dio troška u iznosu od cca 200,00 Eura za postavljanje signalizacije (dvije table) za svoje privatne smještaje onda se dodatno postavlja pitanje da li povećanje lokalnih poreza pridonosi samo dodatnom pumpanju visine proračuna Općine Višnjan za 2024. godinu gdje je isti predložen u značajnom povećanju u odnosu na 2023. godinu ili postoji konkretan plan od strane Turističke zajednice koji će se prezentirati iznajmljivačima i ugostiteljima kako bi se opravdalo ovo predloženo maksimalno povećanje lokalnih poreza ?? Vjerujem da bi se većina iznajmljivača i ugostitelja složila da su predložena razumna povećanja poreza koja bi predstavljala povećanje od cca 50 % trenutnih iznosa (što nije malo), i gdje bi konkretno porez na kuće za odmor iznosio 3,00 Eura/</w:t>
            </w:r>
            <w:proofErr w:type="spellStart"/>
            <w:r w:rsidRPr="00A84F94">
              <w:rPr>
                <w:rFonts w:asciiTheme="majorHAnsi" w:hAnsiTheme="majorHAnsi" w:cstheme="minorHAnsi"/>
                <w:color w:val="808080" w:themeColor="background1" w:themeShade="80"/>
              </w:rPr>
              <w:t>m2</w:t>
            </w:r>
            <w:proofErr w:type="spellEnd"/>
            <w:r w:rsidRPr="00A84F94">
              <w:rPr>
                <w:rFonts w:asciiTheme="majorHAnsi" w:hAnsiTheme="majorHAnsi" w:cstheme="minorHAnsi"/>
                <w:color w:val="808080" w:themeColor="background1" w:themeShade="80"/>
              </w:rPr>
              <w:t xml:space="preserve">, a najam terasa u ljetnim </w:t>
            </w:r>
            <w:r w:rsidRPr="00A84F94">
              <w:rPr>
                <w:rFonts w:asciiTheme="majorHAnsi" w:hAnsiTheme="majorHAnsi" w:cstheme="minorHAnsi"/>
                <w:color w:val="808080" w:themeColor="background1" w:themeShade="80"/>
              </w:rPr>
              <w:lastRenderedPageBreak/>
              <w:t>periodima 3,60 Eura/</w:t>
            </w:r>
            <w:proofErr w:type="spellStart"/>
            <w:r w:rsidRPr="00A84F94">
              <w:rPr>
                <w:rFonts w:asciiTheme="majorHAnsi" w:hAnsiTheme="majorHAnsi" w:cstheme="minorHAnsi"/>
                <w:color w:val="808080" w:themeColor="background1" w:themeShade="80"/>
              </w:rPr>
              <w:t>m2</w:t>
            </w:r>
            <w:proofErr w:type="spellEnd"/>
            <w:r w:rsidRPr="00A84F94">
              <w:rPr>
                <w:rFonts w:asciiTheme="majorHAnsi" w:hAnsiTheme="majorHAnsi" w:cstheme="minorHAnsi"/>
                <w:color w:val="808080" w:themeColor="background1" w:themeShade="80"/>
              </w:rPr>
              <w:t xml:space="preserve">, što se može opravdati zatečenom inflacijom u zadnjih godinu / dvije koja je samim time dovela do povećanja životnih troškova, kao i samog poslovanja. S poštovanjem, Zoran </w:t>
            </w:r>
            <w:proofErr w:type="spellStart"/>
            <w:r w:rsidRPr="00A84F94">
              <w:rPr>
                <w:rFonts w:asciiTheme="majorHAnsi" w:hAnsiTheme="majorHAnsi" w:cstheme="minorHAnsi"/>
                <w:color w:val="808080" w:themeColor="background1" w:themeShade="80"/>
              </w:rPr>
              <w:t>Dekleva</w:t>
            </w:r>
            <w:proofErr w:type="spellEnd"/>
          </w:p>
        </w:tc>
        <w:tc>
          <w:tcPr>
            <w:tcW w:w="1276" w:type="dxa"/>
          </w:tcPr>
          <w:p w14:paraId="77C39A88" w14:textId="027CBCC4" w:rsidR="00A84F94" w:rsidRPr="00062F66" w:rsidRDefault="00A84F94" w:rsidP="00A84F94">
            <w:pPr>
              <w:rPr>
                <w:rFonts w:asciiTheme="majorHAnsi" w:hAnsiTheme="majorHAnsi" w:cstheme="minorHAnsi"/>
                <w:color w:val="808080" w:themeColor="background1" w:themeShade="80"/>
              </w:rPr>
            </w:pPr>
            <w:r w:rsidRPr="00062F66">
              <w:rPr>
                <w:rFonts w:asciiTheme="majorHAnsi" w:hAnsiTheme="majorHAnsi" w:cstheme="minorHAnsi"/>
                <w:color w:val="808080" w:themeColor="background1" w:themeShade="80"/>
              </w:rPr>
              <w:lastRenderedPageBreak/>
              <w:t>5.12.2023 11:18</w:t>
            </w:r>
          </w:p>
        </w:tc>
        <w:tc>
          <w:tcPr>
            <w:tcW w:w="1418" w:type="dxa"/>
          </w:tcPr>
          <w:p w14:paraId="260C4CF1" w14:textId="0EBA8D92" w:rsidR="00A84F94" w:rsidRPr="0019016F" w:rsidRDefault="00A84F94" w:rsidP="00AD4330">
            <w:pPr>
              <w:rPr>
                <w:rFonts w:asciiTheme="majorHAnsi" w:hAnsiTheme="majorHAnsi" w:cs="Arial"/>
                <w:color w:val="808080" w:themeColor="background1" w:themeShade="80"/>
                <w:sz w:val="20"/>
                <w:szCs w:val="20"/>
              </w:rPr>
            </w:pPr>
            <w:r w:rsidRPr="00AD4330">
              <w:rPr>
                <w:rFonts w:asciiTheme="majorHAnsi" w:hAnsiTheme="majorHAnsi" w:cs="Arial"/>
                <w:sz w:val="20"/>
                <w:szCs w:val="20"/>
              </w:rPr>
              <w:t>-Odbijen</w:t>
            </w:r>
          </w:p>
        </w:tc>
        <w:tc>
          <w:tcPr>
            <w:tcW w:w="5103" w:type="dxa"/>
          </w:tcPr>
          <w:p w14:paraId="35A4E33D" w14:textId="77777777" w:rsidR="00AD4330" w:rsidRPr="00AD4330" w:rsidRDefault="00AD4330" w:rsidP="00AD4330">
            <w:pPr>
              <w:spacing w:beforeLines="40" w:before="96" w:afterLines="40" w:after="96" w:line="240" w:lineRule="auto"/>
              <w:jc w:val="both"/>
              <w:rPr>
                <w:rFonts w:asciiTheme="majorHAnsi" w:hAnsiTheme="majorHAnsi" w:cstheme="minorHAnsi"/>
              </w:rPr>
            </w:pPr>
            <w:r w:rsidRPr="00AD4330">
              <w:rPr>
                <w:rFonts w:asciiTheme="majorHAnsi" w:hAnsiTheme="majorHAnsi" w:cstheme="minorHAnsi"/>
              </w:rPr>
              <w:t xml:space="preserve">Sukladno Zakonu o lokalnim porezima člankom 2. točka 12., a  temeljem čega je predložena na javnom savjetovanju Odluka o lokalnim porezima Općine Višnjan,  definirano je da kuća za odmor je svaka zgrada ili dio zgrade ili stan koji se koriste povremeno ili sezonski. Kućom za odmor ne smatraju se gospodarstvene zgrade koje služe za </w:t>
            </w:r>
            <w:r w:rsidRPr="00AD4330">
              <w:rPr>
                <w:rFonts w:asciiTheme="majorHAnsi" w:hAnsiTheme="majorHAnsi" w:cstheme="minorHAnsi"/>
              </w:rPr>
              <w:lastRenderedPageBreak/>
              <w:t>smještaj poljoprivrednih strojeva, oruđa i drugog pribora.</w:t>
            </w:r>
          </w:p>
          <w:p w14:paraId="40F08501" w14:textId="11AE6F15" w:rsidR="00A84F94" w:rsidRPr="0019016F" w:rsidRDefault="00AD4330" w:rsidP="00AD4330">
            <w:pPr>
              <w:spacing w:beforeLines="40" w:before="96" w:afterLines="40" w:after="96"/>
              <w:jc w:val="both"/>
              <w:rPr>
                <w:rFonts w:asciiTheme="majorHAnsi" w:hAnsiTheme="majorHAnsi" w:cstheme="minorHAnsi"/>
                <w:color w:val="FF0000"/>
              </w:rPr>
            </w:pPr>
            <w:r w:rsidRPr="00AD4330">
              <w:rPr>
                <w:rFonts w:asciiTheme="majorHAnsi" w:hAnsiTheme="majorHAnsi" w:cstheme="minorHAnsi"/>
              </w:rPr>
              <w:t>Navedeni porez ne odnosi se na objekte u kojima se obavlja  registrirana djelatnost  iznajmljivanja sukladno  Zakonu o ugostiteljskoj djelatnosti „Narodne novine“ broj  85/15, 121/16, 99/18, 25/19, 98/19, 32/20, 42/20, 126/21.</w:t>
            </w:r>
          </w:p>
        </w:tc>
      </w:tr>
      <w:tr w:rsidR="008C0733" w:rsidRPr="0019016F" w14:paraId="020EAEB7" w14:textId="77777777" w:rsidTr="00C112F5">
        <w:tc>
          <w:tcPr>
            <w:tcW w:w="1702" w:type="dxa"/>
            <w:shd w:val="clear" w:color="auto" w:fill="auto"/>
          </w:tcPr>
          <w:p w14:paraId="549F043D" w14:textId="1C42258F" w:rsidR="008C0733" w:rsidRPr="00062F66" w:rsidRDefault="008C0733" w:rsidP="008C0733">
            <w:pPr>
              <w:jc w:val="both"/>
              <w:rPr>
                <w:rFonts w:asciiTheme="majorHAnsi" w:hAnsiTheme="majorHAnsi" w:cstheme="minorHAnsi"/>
                <w:color w:val="808080" w:themeColor="background1" w:themeShade="80"/>
              </w:rPr>
            </w:pPr>
            <w:r w:rsidRPr="00A84F94">
              <w:rPr>
                <w:rFonts w:asciiTheme="majorHAnsi" w:hAnsiTheme="majorHAnsi" w:cstheme="minorHAnsi"/>
                <w:color w:val="808080" w:themeColor="background1" w:themeShade="80"/>
              </w:rPr>
              <w:lastRenderedPageBreak/>
              <w:t>Goran Perhat</w:t>
            </w:r>
          </w:p>
        </w:tc>
        <w:tc>
          <w:tcPr>
            <w:tcW w:w="5528" w:type="dxa"/>
          </w:tcPr>
          <w:p w14:paraId="7372816E" w14:textId="0F5083C3" w:rsidR="008C0733" w:rsidRPr="00A84F94" w:rsidRDefault="008C0733" w:rsidP="008C0733">
            <w:pPr>
              <w:jc w:val="both"/>
              <w:rPr>
                <w:rFonts w:asciiTheme="majorHAnsi" w:hAnsiTheme="majorHAnsi" w:cstheme="minorHAnsi"/>
                <w:color w:val="808080" w:themeColor="background1" w:themeShade="80"/>
              </w:rPr>
            </w:pPr>
            <w:r w:rsidRPr="008C0733">
              <w:rPr>
                <w:rFonts w:asciiTheme="majorHAnsi" w:hAnsiTheme="majorHAnsi" w:cstheme="minorHAnsi"/>
                <w:color w:val="808080" w:themeColor="background1" w:themeShade="80"/>
              </w:rPr>
              <w:t>Poštovani, Zanima me razlog i detaljno obrazloženje zašto iznajmljivačima kuća za odmor s prijašnjih 2,00 EUR/</w:t>
            </w:r>
            <w:proofErr w:type="spellStart"/>
            <w:r w:rsidRPr="008C0733">
              <w:rPr>
                <w:rFonts w:asciiTheme="majorHAnsi" w:hAnsiTheme="majorHAnsi" w:cstheme="minorHAnsi"/>
                <w:color w:val="808080" w:themeColor="background1" w:themeShade="80"/>
              </w:rPr>
              <w:t>m2</w:t>
            </w:r>
            <w:proofErr w:type="spellEnd"/>
            <w:r w:rsidRPr="008C0733">
              <w:rPr>
                <w:rFonts w:asciiTheme="majorHAnsi" w:hAnsiTheme="majorHAnsi" w:cstheme="minorHAnsi"/>
                <w:color w:val="808080" w:themeColor="background1" w:themeShade="80"/>
              </w:rPr>
              <w:t xml:space="preserve"> podiže se na maksimalnih 5,00 EUR /</w:t>
            </w:r>
            <w:proofErr w:type="spellStart"/>
            <w:r w:rsidRPr="008C0733">
              <w:rPr>
                <w:rFonts w:asciiTheme="majorHAnsi" w:hAnsiTheme="majorHAnsi" w:cstheme="minorHAnsi"/>
                <w:color w:val="808080" w:themeColor="background1" w:themeShade="80"/>
              </w:rPr>
              <w:t>m2</w:t>
            </w:r>
            <w:proofErr w:type="spellEnd"/>
            <w:r w:rsidRPr="008C0733">
              <w:rPr>
                <w:rFonts w:asciiTheme="majorHAnsi" w:hAnsiTheme="majorHAnsi" w:cstheme="minorHAnsi"/>
                <w:color w:val="808080" w:themeColor="background1" w:themeShade="80"/>
              </w:rPr>
              <w:t xml:space="preserve">? Što pojedini iznajmljivač ii sama zajednica dobiva s podizanjem poreza ? Kako će općina odnosno turistička zajednica uložiti dobivena poveća porezna sredstva ? Hoće li biti transparenta prema zakonu koji slijedi od početka sljedeće godine ? Ako da, gdje i kako će se moći imati uvid u utrošena sredstva turističke zajednice ? U što će točno uložiti u smislu podizanja kvaliteta, ponude te dostupnosti informacija turističke zajednice općine Višnjan ? Nadalje, zanima me, ako se već porez podiže na maksimalnu vrijednost a u odnosu na susjedne općine npr. gdje nismo ni blizu bilo kakve konkurentnosti ili bilo kakve smislene usporedbe, zanima me zašto Općina nema barem adekvatnu Web stranicu </w:t>
            </w:r>
            <w:proofErr w:type="spellStart"/>
            <w:r w:rsidRPr="008C0733">
              <w:rPr>
                <w:rFonts w:asciiTheme="majorHAnsi" w:hAnsiTheme="majorHAnsi" w:cstheme="minorHAnsi"/>
                <w:color w:val="808080" w:themeColor="background1" w:themeShade="80"/>
              </w:rPr>
              <w:t>turistike</w:t>
            </w:r>
            <w:proofErr w:type="spellEnd"/>
            <w:r w:rsidRPr="008C0733">
              <w:rPr>
                <w:rFonts w:asciiTheme="majorHAnsi" w:hAnsiTheme="majorHAnsi" w:cstheme="minorHAnsi"/>
                <w:color w:val="808080" w:themeColor="background1" w:themeShade="80"/>
              </w:rPr>
              <w:t xml:space="preserve"> zajednice ? Hoće li se sredstva povišenog poreza odnosno dobiti uložiti u bilo kakvu vrstu digitalizacije TZ-a? Zašto ne postoji lokalni turistički ured koji bi bio na korist kao i gostima/turistima koji tu borave tako i samim mještanima općine ? Što će zapravo s povećanjem poreza za iznajmljivače dobiti, konkretno ? Koji je cilj podizanja poreza kada Općina ima totalnu nefunkcionalnu turističku zajednicu koja godinama nije ulagala u turističku ponudu? Koje je opravdanje za podizanje poreza ? Volio bih kada biste mi nabrojali nekoliko stvari koje su sa strane TZ-a Višnjana napravljene u zadnjih par godina? Zanima me jeli moguće dobiti smisleni odgovor na bilo koje moje postavljeno pitanje ? I također želim izraziti veliko nezadovoljstvo </w:t>
            </w:r>
            <w:proofErr w:type="spellStart"/>
            <w:r w:rsidRPr="008C0733">
              <w:rPr>
                <w:rFonts w:asciiTheme="majorHAnsi" w:hAnsiTheme="majorHAnsi" w:cstheme="minorHAnsi"/>
                <w:color w:val="808080" w:themeColor="background1" w:themeShade="80"/>
              </w:rPr>
              <w:t>funkcionirane</w:t>
            </w:r>
            <w:proofErr w:type="spellEnd"/>
            <w:r w:rsidRPr="008C0733">
              <w:rPr>
                <w:rFonts w:asciiTheme="majorHAnsi" w:hAnsiTheme="majorHAnsi" w:cstheme="minorHAnsi"/>
                <w:color w:val="808080" w:themeColor="background1" w:themeShade="80"/>
              </w:rPr>
              <w:t xml:space="preserve"> turističke zajednice, sramotno je da jedna takva bogata sredina zanemaruje sve što može dobro učiniti po pitanju </w:t>
            </w:r>
            <w:r w:rsidRPr="008C0733">
              <w:rPr>
                <w:rFonts w:asciiTheme="majorHAnsi" w:hAnsiTheme="majorHAnsi" w:cstheme="minorHAnsi"/>
                <w:color w:val="808080" w:themeColor="background1" w:themeShade="80"/>
              </w:rPr>
              <w:lastRenderedPageBreak/>
              <w:t>turizma a ima obzira podizati porez. Moje pitanje je - Zašto ? S poštovanjem, Goran Perhat</w:t>
            </w:r>
          </w:p>
        </w:tc>
        <w:tc>
          <w:tcPr>
            <w:tcW w:w="1276" w:type="dxa"/>
          </w:tcPr>
          <w:p w14:paraId="0ADC6109" w14:textId="3256D1CE" w:rsidR="008C0733" w:rsidRPr="00062F66" w:rsidRDefault="008C0733" w:rsidP="008C0733">
            <w:pPr>
              <w:rPr>
                <w:rFonts w:asciiTheme="majorHAnsi" w:hAnsiTheme="majorHAnsi" w:cstheme="minorHAnsi"/>
                <w:color w:val="808080" w:themeColor="background1" w:themeShade="80"/>
              </w:rPr>
            </w:pPr>
            <w:r w:rsidRPr="00A84F94">
              <w:rPr>
                <w:rFonts w:asciiTheme="majorHAnsi" w:hAnsiTheme="majorHAnsi" w:cstheme="minorHAnsi"/>
                <w:color w:val="808080" w:themeColor="background1" w:themeShade="80"/>
              </w:rPr>
              <w:lastRenderedPageBreak/>
              <w:t xml:space="preserve">6.12.2023 </w:t>
            </w:r>
            <w:proofErr w:type="spellStart"/>
            <w:r w:rsidRPr="00A84F94">
              <w:rPr>
                <w:rFonts w:asciiTheme="majorHAnsi" w:hAnsiTheme="majorHAnsi" w:cstheme="minorHAnsi"/>
                <w:color w:val="808080" w:themeColor="background1" w:themeShade="80"/>
              </w:rPr>
              <w:t>11:27</w:t>
            </w:r>
            <w:r>
              <w:rPr>
                <w:rFonts w:asciiTheme="majorHAnsi" w:hAnsiTheme="majorHAnsi" w:cstheme="minorHAnsi"/>
                <w:color w:val="808080" w:themeColor="background1" w:themeShade="80"/>
              </w:rPr>
              <w:t>h</w:t>
            </w:r>
            <w:proofErr w:type="spellEnd"/>
          </w:p>
        </w:tc>
        <w:tc>
          <w:tcPr>
            <w:tcW w:w="1418" w:type="dxa"/>
          </w:tcPr>
          <w:p w14:paraId="4383445A" w14:textId="74A75734" w:rsidR="008C0733" w:rsidRPr="00AD4330" w:rsidRDefault="008C0733" w:rsidP="008C0733">
            <w:pPr>
              <w:rPr>
                <w:rFonts w:asciiTheme="majorHAnsi" w:hAnsiTheme="majorHAnsi" w:cs="Arial"/>
                <w:sz w:val="20"/>
                <w:szCs w:val="20"/>
              </w:rPr>
            </w:pPr>
            <w:r w:rsidRPr="00AD4330">
              <w:rPr>
                <w:rFonts w:asciiTheme="majorHAnsi" w:hAnsiTheme="majorHAnsi" w:cs="Arial"/>
                <w:sz w:val="20"/>
                <w:szCs w:val="20"/>
              </w:rPr>
              <w:t>-Odbijen</w:t>
            </w:r>
          </w:p>
        </w:tc>
        <w:tc>
          <w:tcPr>
            <w:tcW w:w="5103" w:type="dxa"/>
          </w:tcPr>
          <w:p w14:paraId="42259225" w14:textId="77777777" w:rsidR="00AD4330" w:rsidRPr="00AD4330" w:rsidRDefault="00AD4330" w:rsidP="00AD4330">
            <w:pPr>
              <w:spacing w:beforeLines="40" w:before="96" w:afterLines="40" w:after="96" w:line="240" w:lineRule="auto"/>
              <w:jc w:val="both"/>
              <w:rPr>
                <w:rFonts w:asciiTheme="majorHAnsi" w:hAnsiTheme="majorHAnsi" w:cstheme="minorHAnsi"/>
              </w:rPr>
            </w:pPr>
            <w:r w:rsidRPr="00AD4330">
              <w:rPr>
                <w:rFonts w:asciiTheme="majorHAnsi" w:hAnsiTheme="majorHAnsi" w:cstheme="minorHAnsi"/>
              </w:rPr>
              <w:t>Sukladno Zakonu o lokalnim porezima člankom 2. točka 12., a  temeljem čega je predložena na javnom savjetovanju Odluka o lokalnim porezima Općine Višnjan,  definirano je da kuća za odmor je svaka zgrada ili dio zgrade ili stan koji se koriste povremeno ili sezonski. Kućom za odmor ne smatraju se gospodarstvene zgrade koje služe za smještaj poljoprivrednih strojeva, oruđa i drugog pribora.</w:t>
            </w:r>
          </w:p>
          <w:p w14:paraId="1DE1FF5F" w14:textId="36646BE9" w:rsidR="008C0733" w:rsidRPr="00AD4330" w:rsidRDefault="00AD4330" w:rsidP="00AD4330">
            <w:pPr>
              <w:spacing w:beforeLines="40" w:before="96" w:afterLines="40" w:after="96"/>
              <w:jc w:val="both"/>
              <w:rPr>
                <w:rFonts w:asciiTheme="majorHAnsi" w:hAnsiTheme="majorHAnsi" w:cstheme="minorHAnsi"/>
              </w:rPr>
            </w:pPr>
            <w:r w:rsidRPr="00AD4330">
              <w:rPr>
                <w:rFonts w:asciiTheme="majorHAnsi" w:hAnsiTheme="majorHAnsi" w:cstheme="minorHAnsi"/>
              </w:rPr>
              <w:t>Navedeni porez ne odnosi se na objekte u kojima se obavlja  registrirana djelatnost  iznajmljivanja sukladno  Zakonu o ugostiteljskoj djelatnosti „Narodne novine“ broj  85/15, 121/16, 99/18, 25/19, 98/19, 32/20, 42/20, 126/21.</w:t>
            </w:r>
          </w:p>
        </w:tc>
      </w:tr>
    </w:tbl>
    <w:p w14:paraId="3AB44A0F" w14:textId="77777777" w:rsidR="00545616" w:rsidRPr="0019016F" w:rsidRDefault="00545616">
      <w:pPr>
        <w:rPr>
          <w:rFonts w:asciiTheme="majorHAnsi" w:hAnsiTheme="majorHAnsi" w:cstheme="minorHAnsi"/>
          <w:color w:val="808080" w:themeColor="background1" w:themeShade="80"/>
        </w:rPr>
      </w:pPr>
    </w:p>
    <w:sectPr w:rsidR="00545616" w:rsidRPr="0019016F" w:rsidSect="007C536F">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40F2" w14:textId="77777777" w:rsidR="000523CE" w:rsidRDefault="000523CE" w:rsidP="00946F1A">
      <w:pPr>
        <w:spacing w:after="0" w:line="240" w:lineRule="auto"/>
      </w:pPr>
      <w:r>
        <w:separator/>
      </w:r>
    </w:p>
  </w:endnote>
  <w:endnote w:type="continuationSeparator" w:id="0">
    <w:p w14:paraId="3EDF1F19" w14:textId="77777777" w:rsidR="000523CE" w:rsidRDefault="000523CE"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20C6" w14:textId="77777777" w:rsidR="000523CE" w:rsidRDefault="000523CE" w:rsidP="00946F1A">
      <w:pPr>
        <w:spacing w:after="0" w:line="240" w:lineRule="auto"/>
      </w:pPr>
      <w:r>
        <w:separator/>
      </w:r>
    </w:p>
  </w:footnote>
  <w:footnote w:type="continuationSeparator" w:id="0">
    <w:p w14:paraId="57B07970" w14:textId="77777777" w:rsidR="000523CE" w:rsidRDefault="000523CE" w:rsidP="009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DDBA" w14:textId="7F6D6993" w:rsidR="007C536F" w:rsidRDefault="00F379AC">
    <w:pPr>
      <w:pStyle w:val="Header"/>
    </w:pPr>
    <w:r>
      <w:rPr>
        <w:noProof/>
        <w:lang w:eastAsia="hr-HR"/>
      </w:rPr>
      <mc:AlternateContent>
        <mc:Choice Requires="wps">
          <w:drawing>
            <wp:anchor distT="0" distB="0" distL="114300" distR="114300" simplePos="0" relativeHeight="251658240" behindDoc="0" locked="0" layoutInCell="1" allowOverlap="1" wp14:anchorId="0C68181C" wp14:editId="4AB0E5D1">
              <wp:simplePos x="0" y="0"/>
              <wp:positionH relativeFrom="column">
                <wp:posOffset>542290</wp:posOffset>
              </wp:positionH>
              <wp:positionV relativeFrom="paragraph">
                <wp:posOffset>170180</wp:posOffset>
              </wp:positionV>
              <wp:extent cx="2159000" cy="428625"/>
              <wp:effectExtent l="8890" t="8255" r="13335" b="8890"/>
              <wp:wrapNone/>
              <wp:docPr id="3635047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28625"/>
                      </a:xfrm>
                      <a:prstGeom prst="rect">
                        <a:avLst/>
                      </a:prstGeom>
                      <a:solidFill>
                        <a:srgbClr val="FFFFFF"/>
                      </a:solidFill>
                      <a:ln w="9525">
                        <a:solidFill>
                          <a:schemeClr val="bg1">
                            <a:lumMod val="100000"/>
                            <a:lumOff val="0"/>
                          </a:schemeClr>
                        </a:solidFill>
                        <a:miter lim="800000"/>
                        <a:headEnd/>
                        <a:tailEnd/>
                      </a:ln>
                    </wps:spPr>
                    <wps:txbx>
                      <w:txbxContent>
                        <w:p w14:paraId="7B5FFE25" w14:textId="77777777" w:rsidR="007C536F" w:rsidRPr="0019016F" w:rsidRDefault="007C536F" w:rsidP="007C536F">
                          <w:pPr>
                            <w:spacing w:after="0" w:line="240" w:lineRule="auto"/>
                            <w:rPr>
                              <w:rFonts w:asciiTheme="majorHAnsi" w:hAnsiTheme="majorHAnsi"/>
                              <w:b/>
                              <w:noProof/>
                              <w:color w:val="808080" w:themeColor="background1" w:themeShade="80"/>
                              <w:lang w:eastAsia="hr-HR"/>
                            </w:rPr>
                          </w:pPr>
                          <w:r w:rsidRPr="0019016F">
                            <w:rPr>
                              <w:rFonts w:asciiTheme="majorHAnsi" w:hAnsiTheme="majorHAnsi"/>
                              <w:b/>
                              <w:noProof/>
                              <w:color w:val="808080" w:themeColor="background1" w:themeShade="80"/>
                              <w:lang w:eastAsia="hr-HR"/>
                            </w:rPr>
                            <w:t>REPUBLIKA HRVATSKA</w:t>
                          </w:r>
                        </w:p>
                        <w:p w14:paraId="2CA5B89F" w14:textId="53F57114" w:rsidR="007C536F" w:rsidRPr="0019016F" w:rsidRDefault="00DD5810" w:rsidP="007C536F">
                          <w:pPr>
                            <w:spacing w:after="0" w:line="240" w:lineRule="auto"/>
                            <w:rPr>
                              <w:rFonts w:asciiTheme="majorHAnsi" w:hAnsiTheme="majorHAnsi"/>
                              <w:b/>
                              <w:color w:val="808080" w:themeColor="background1" w:themeShade="80"/>
                            </w:rPr>
                          </w:pPr>
                          <w:r w:rsidRPr="0019016F">
                            <w:rPr>
                              <w:rFonts w:asciiTheme="majorHAnsi" w:hAnsiTheme="majorHAnsi"/>
                              <w:b/>
                              <w:noProof/>
                              <w:color w:val="808080" w:themeColor="background1" w:themeShade="80"/>
                              <w:lang w:eastAsia="hr-HR"/>
                            </w:rPr>
                            <w:t xml:space="preserve">OPĆINA </w:t>
                          </w:r>
                          <w:r w:rsidR="00062F66">
                            <w:rPr>
                              <w:rFonts w:asciiTheme="majorHAnsi" w:hAnsiTheme="majorHAnsi"/>
                              <w:b/>
                              <w:noProof/>
                              <w:color w:val="808080" w:themeColor="background1" w:themeShade="80"/>
                              <w:lang w:eastAsia="hr-HR"/>
                            </w:rPr>
                            <w:t>VIŠNJAN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8181C" id="_x0000_t202" coordsize="21600,21600" o:spt="202" path="m,l,21600r21600,l21600,xe">
              <v:stroke joinstyle="miter"/>
              <v:path gradientshapeok="t" o:connecttype="rect"/>
            </v:shapetype>
            <v:shape id="Text Box 3" o:spid="_x0000_s1026" type="#_x0000_t202" style="position:absolute;margin-left:42.7pt;margin-top:13.4pt;width:170pt;height:33.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" strokecolor="white [3212]">
              <v:textbox style="mso-fit-shape-to-text:t">
                <w:txbxContent>
                  <w:p w14:paraId="7B5FFE25" w14:textId="77777777" w:rsidR="007C536F" w:rsidRPr="0019016F" w:rsidRDefault="007C536F" w:rsidP="007C536F">
                    <w:pPr>
                      <w:spacing w:after="0" w:line="240" w:lineRule="auto"/>
                      <w:rPr>
                        <w:rFonts w:asciiTheme="majorHAnsi" w:hAnsiTheme="majorHAnsi"/>
                        <w:b/>
                        <w:noProof/>
                        <w:color w:val="808080" w:themeColor="background1" w:themeShade="80"/>
                        <w:lang w:eastAsia="hr-HR"/>
                      </w:rPr>
                    </w:pPr>
                    <w:r w:rsidRPr="0019016F">
                      <w:rPr>
                        <w:rFonts w:asciiTheme="majorHAnsi" w:hAnsiTheme="majorHAnsi"/>
                        <w:b/>
                        <w:noProof/>
                        <w:color w:val="808080" w:themeColor="background1" w:themeShade="80"/>
                        <w:lang w:eastAsia="hr-HR"/>
                      </w:rPr>
                      <w:t>REPUBLIKA HRVATSKA</w:t>
                    </w:r>
                  </w:p>
                  <w:p w14:paraId="2CA5B89F" w14:textId="53F57114" w:rsidR="007C536F" w:rsidRPr="0019016F" w:rsidRDefault="00DD5810" w:rsidP="007C536F">
                    <w:pPr>
                      <w:spacing w:after="0" w:line="240" w:lineRule="auto"/>
                      <w:rPr>
                        <w:rFonts w:asciiTheme="majorHAnsi" w:hAnsiTheme="majorHAnsi"/>
                        <w:b/>
                        <w:color w:val="808080" w:themeColor="background1" w:themeShade="80"/>
                      </w:rPr>
                    </w:pPr>
                    <w:r w:rsidRPr="0019016F">
                      <w:rPr>
                        <w:rFonts w:asciiTheme="majorHAnsi" w:hAnsiTheme="majorHAnsi"/>
                        <w:b/>
                        <w:noProof/>
                        <w:color w:val="808080" w:themeColor="background1" w:themeShade="80"/>
                        <w:lang w:eastAsia="hr-HR"/>
                      </w:rPr>
                      <w:t xml:space="preserve">OPĆINA </w:t>
                    </w:r>
                    <w:r w:rsidR="00062F66">
                      <w:rPr>
                        <w:rFonts w:asciiTheme="majorHAnsi" w:hAnsiTheme="majorHAnsi"/>
                        <w:b/>
                        <w:noProof/>
                        <w:color w:val="808080" w:themeColor="background1" w:themeShade="80"/>
                        <w:lang w:eastAsia="hr-HR"/>
                      </w:rPr>
                      <w:t>VIŠNJAN</w:t>
                    </w:r>
                  </w:p>
                </w:txbxContent>
              </v:textbox>
            </v:shape>
          </w:pict>
        </mc:Fallback>
      </mc:AlternateConten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1A"/>
    <w:rsid w:val="0001753A"/>
    <w:rsid w:val="000523CE"/>
    <w:rsid w:val="00062F66"/>
    <w:rsid w:val="00084810"/>
    <w:rsid w:val="00095998"/>
    <w:rsid w:val="00184E7F"/>
    <w:rsid w:val="0019016F"/>
    <w:rsid w:val="001B0961"/>
    <w:rsid w:val="001B43C3"/>
    <w:rsid w:val="00255AF3"/>
    <w:rsid w:val="002B7FBD"/>
    <w:rsid w:val="00365B59"/>
    <w:rsid w:val="00381546"/>
    <w:rsid w:val="003A51DA"/>
    <w:rsid w:val="003B7228"/>
    <w:rsid w:val="003E3057"/>
    <w:rsid w:val="00457643"/>
    <w:rsid w:val="004B055B"/>
    <w:rsid w:val="004D4B17"/>
    <w:rsid w:val="00520915"/>
    <w:rsid w:val="00545616"/>
    <w:rsid w:val="00546335"/>
    <w:rsid w:val="005B6D2D"/>
    <w:rsid w:val="005F56E2"/>
    <w:rsid w:val="00626CC9"/>
    <w:rsid w:val="00630B97"/>
    <w:rsid w:val="006721AA"/>
    <w:rsid w:val="006B7557"/>
    <w:rsid w:val="006C46BB"/>
    <w:rsid w:val="006F0942"/>
    <w:rsid w:val="00704413"/>
    <w:rsid w:val="00737A30"/>
    <w:rsid w:val="00744549"/>
    <w:rsid w:val="00784B0B"/>
    <w:rsid w:val="00787CAC"/>
    <w:rsid w:val="007C536F"/>
    <w:rsid w:val="00892754"/>
    <w:rsid w:val="008A7A88"/>
    <w:rsid w:val="008C0733"/>
    <w:rsid w:val="008D1831"/>
    <w:rsid w:val="0093264E"/>
    <w:rsid w:val="00946F1A"/>
    <w:rsid w:val="00957F16"/>
    <w:rsid w:val="009A30E4"/>
    <w:rsid w:val="009C341E"/>
    <w:rsid w:val="009C4CEC"/>
    <w:rsid w:val="00A842D3"/>
    <w:rsid w:val="00A84F94"/>
    <w:rsid w:val="00A9210D"/>
    <w:rsid w:val="00AD27A3"/>
    <w:rsid w:val="00AD4330"/>
    <w:rsid w:val="00B3128D"/>
    <w:rsid w:val="00B561DF"/>
    <w:rsid w:val="00B61F3C"/>
    <w:rsid w:val="00B65120"/>
    <w:rsid w:val="00BE4331"/>
    <w:rsid w:val="00BE5C48"/>
    <w:rsid w:val="00C112F5"/>
    <w:rsid w:val="00C73FE4"/>
    <w:rsid w:val="00C8226A"/>
    <w:rsid w:val="00C86468"/>
    <w:rsid w:val="00C91EF3"/>
    <w:rsid w:val="00CA35E5"/>
    <w:rsid w:val="00CC0C57"/>
    <w:rsid w:val="00D252FB"/>
    <w:rsid w:val="00D75DF2"/>
    <w:rsid w:val="00DA5BB5"/>
    <w:rsid w:val="00DB0A0F"/>
    <w:rsid w:val="00DD16AB"/>
    <w:rsid w:val="00DD34EF"/>
    <w:rsid w:val="00DD5810"/>
    <w:rsid w:val="00DF2832"/>
    <w:rsid w:val="00E0443C"/>
    <w:rsid w:val="00E102EF"/>
    <w:rsid w:val="00E14DF4"/>
    <w:rsid w:val="00E158E5"/>
    <w:rsid w:val="00E23220"/>
    <w:rsid w:val="00E30CAF"/>
    <w:rsid w:val="00E32626"/>
    <w:rsid w:val="00E55531"/>
    <w:rsid w:val="00E73B1D"/>
    <w:rsid w:val="00E73E66"/>
    <w:rsid w:val="00E91D4F"/>
    <w:rsid w:val="00EA55B3"/>
    <w:rsid w:val="00EB6C68"/>
    <w:rsid w:val="00F17645"/>
    <w:rsid w:val="00F255EA"/>
    <w:rsid w:val="00F379AC"/>
    <w:rsid w:val="00F922FD"/>
    <w:rsid w:val="00F96E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F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F1A"/>
  </w:style>
  <w:style w:type="paragraph" w:styleId="Footer">
    <w:name w:val="footer"/>
    <w:basedOn w:val="Normal"/>
    <w:link w:val="FooterChar"/>
    <w:uiPriority w:val="99"/>
    <w:unhideWhenUsed/>
    <w:rsid w:val="00946F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F1A"/>
  </w:style>
  <w:style w:type="paragraph" w:styleId="BalloonText">
    <w:name w:val="Balloon Text"/>
    <w:basedOn w:val="Normal"/>
    <w:link w:val="BalloonTextChar"/>
    <w:uiPriority w:val="99"/>
    <w:semiHidden/>
    <w:unhideWhenUsed/>
    <w:rsid w:val="00946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1A"/>
    <w:rPr>
      <w:rFonts w:ascii="Tahoma" w:hAnsi="Tahoma" w:cs="Tahoma"/>
      <w:sz w:val="16"/>
      <w:szCs w:val="16"/>
    </w:rPr>
  </w:style>
  <w:style w:type="table" w:styleId="TableGrid">
    <w:name w:val="Table Grid"/>
    <w:basedOn w:val="TableNormal"/>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8E5"/>
    <w:rPr>
      <w:sz w:val="16"/>
      <w:szCs w:val="16"/>
    </w:rPr>
  </w:style>
  <w:style w:type="paragraph" w:styleId="CommentText">
    <w:name w:val="annotation text"/>
    <w:basedOn w:val="Normal"/>
    <w:link w:val="CommentTextChar"/>
    <w:uiPriority w:val="99"/>
    <w:semiHidden/>
    <w:unhideWhenUsed/>
    <w:rsid w:val="00E158E5"/>
    <w:pPr>
      <w:spacing w:line="240" w:lineRule="auto"/>
    </w:pPr>
    <w:rPr>
      <w:sz w:val="20"/>
      <w:szCs w:val="20"/>
    </w:rPr>
  </w:style>
  <w:style w:type="character" w:customStyle="1" w:styleId="CommentTextChar">
    <w:name w:val="Comment Text Char"/>
    <w:basedOn w:val="DefaultParagraphFont"/>
    <w:link w:val="CommentText"/>
    <w:uiPriority w:val="99"/>
    <w:semiHidden/>
    <w:rsid w:val="00E158E5"/>
    <w:rPr>
      <w:sz w:val="20"/>
      <w:szCs w:val="20"/>
    </w:rPr>
  </w:style>
  <w:style w:type="paragraph" w:styleId="CommentSubject">
    <w:name w:val="annotation subject"/>
    <w:basedOn w:val="CommentText"/>
    <w:next w:val="CommentText"/>
    <w:link w:val="CommentSubjectChar"/>
    <w:uiPriority w:val="99"/>
    <w:semiHidden/>
    <w:unhideWhenUsed/>
    <w:rsid w:val="00E158E5"/>
    <w:rPr>
      <w:b/>
      <w:bCs/>
    </w:rPr>
  </w:style>
  <w:style w:type="character" w:customStyle="1" w:styleId="CommentSubjectChar">
    <w:name w:val="Comment Subject Char"/>
    <w:basedOn w:val="CommentTextChar"/>
    <w:link w:val="CommentSubject"/>
    <w:uiPriority w:val="99"/>
    <w:semiHidden/>
    <w:rsid w:val="00E158E5"/>
    <w:rPr>
      <w:b/>
      <w:bCs/>
      <w:sz w:val="20"/>
      <w:szCs w:val="20"/>
    </w:rPr>
  </w:style>
  <w:style w:type="paragraph" w:styleId="ListParagraph">
    <w:name w:val="List Paragraph"/>
    <w:basedOn w:val="Normal"/>
    <w:uiPriority w:val="34"/>
    <w:qFormat/>
    <w:rsid w:val="00B6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1126</Words>
  <Characters>6422</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Pročelnik JUO</cp:lastModifiedBy>
  <cp:revision>3</cp:revision>
  <cp:lastPrinted>2018-01-26T13:45:00Z</cp:lastPrinted>
  <dcterms:created xsi:type="dcterms:W3CDTF">2023-12-08T10:16:00Z</dcterms:created>
  <dcterms:modified xsi:type="dcterms:W3CDTF">2023-12-08T10:30:00Z</dcterms:modified>
</cp:coreProperties>
</file>